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A3" w:rsidRDefault="00CD49A3" w:rsidP="00965A4A">
      <w:pPr>
        <w:shd w:val="clear" w:color="auto" w:fill="FFFFFF"/>
        <w:spacing w:after="0" w:line="270" w:lineRule="atLeast"/>
        <w:outlineLvl w:val="3"/>
        <w:rPr>
          <w:rFonts w:ascii="Times New Roman" w:hAnsi="Times New Roman" w:cs="Times New Roman"/>
          <w:color w:val="444444"/>
          <w:sz w:val="28"/>
          <w:szCs w:val="28"/>
        </w:rPr>
      </w:pPr>
    </w:p>
    <w:p w:rsidR="00CD49A3" w:rsidRDefault="00CD49A3" w:rsidP="00965A4A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общеобразовательное учреждение</w:t>
      </w:r>
    </w:p>
    <w:p w:rsidR="00CD49A3" w:rsidRDefault="00CD49A3" w:rsidP="00965A4A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19  с углубленным изучением отдельных предметов»</w:t>
      </w:r>
    </w:p>
    <w:p w:rsidR="00CD49A3" w:rsidRDefault="00CD49A3" w:rsidP="00965A4A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4" w:tblpY="42"/>
        <w:tblW w:w="0" w:type="auto"/>
        <w:tblLayout w:type="fixed"/>
        <w:tblLook w:val="0000"/>
      </w:tblPr>
      <w:tblGrid>
        <w:gridCol w:w="2631"/>
        <w:gridCol w:w="2770"/>
        <w:gridCol w:w="3008"/>
        <w:gridCol w:w="3223"/>
        <w:gridCol w:w="3869"/>
      </w:tblGrid>
      <w:tr w:rsidR="00CD49A3">
        <w:trPr>
          <w:trHeight w:val="2127"/>
        </w:trPr>
        <w:tc>
          <w:tcPr>
            <w:tcW w:w="2631" w:type="dxa"/>
          </w:tcPr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 МО     учителей общественных наук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МО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_____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«___»___2015г. 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Согласовано:________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директора по УВР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«_____»_____2015г.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 Советом Учреждения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председатель: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«__»_____2015г.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</w:tcPr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Педагогическим советом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_____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«___»___ 2015г. 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</w:tcPr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УТВЕРЖДАЮ:___________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МБОУ СОШ № 19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_______________________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 _____________ от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«_____»____________2015г.</w:t>
            </w: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A3" w:rsidRDefault="00CD49A3" w:rsidP="00F55AD7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49A3" w:rsidRDefault="00CD49A3" w:rsidP="00965A4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программа элективного учебного предмета</w:t>
      </w:r>
    </w:p>
    <w:p w:rsidR="00CD49A3" w:rsidRDefault="00CD49A3" w:rsidP="00965A4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«Локальные конфликты» для 11 класса</w:t>
      </w:r>
    </w:p>
    <w:p w:rsidR="00CD49A3" w:rsidRDefault="00CD49A3" w:rsidP="00965A4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49A3" w:rsidRDefault="00CD49A3" w:rsidP="00965A4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</w:rPr>
      </w:pPr>
    </w:p>
    <w:p w:rsidR="00CD49A3" w:rsidRDefault="00CD49A3" w:rsidP="00965A4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9A3" w:rsidRDefault="00CD49A3" w:rsidP="00965A4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9A3" w:rsidRDefault="00CD49A3" w:rsidP="00965A4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9A3" w:rsidRDefault="00CD49A3" w:rsidP="00965A4A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CD49A3" w:rsidRDefault="00CD49A3" w:rsidP="00965A4A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CD49A3" w:rsidRDefault="00CD49A3" w:rsidP="00965A4A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CD49A3" w:rsidRDefault="00CD49A3" w:rsidP="00965A4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CD49A3" w:rsidRDefault="00CD49A3" w:rsidP="00965A4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</w:t>
      </w:r>
    </w:p>
    <w:p w:rsidR="00CD49A3" w:rsidRPr="00EF24B3" w:rsidRDefault="00CD49A3" w:rsidP="00965A4A">
      <w:pPr>
        <w:spacing w:after="0" w:line="240" w:lineRule="auto"/>
        <w:ind w:left="57" w:right="57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t>2015 г</w:t>
      </w:r>
    </w:p>
    <w:p w:rsidR="00CD49A3" w:rsidRDefault="00CD49A3">
      <w:pPr>
        <w:pStyle w:val="NoSpacing"/>
      </w:pPr>
    </w:p>
    <w:p w:rsidR="00CD49A3" w:rsidRDefault="00CD49A3" w:rsidP="00675C8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9A3" w:rsidRPr="00AA1AE3" w:rsidRDefault="00CD49A3" w:rsidP="00675C8E">
      <w:pPr>
        <w:pStyle w:val="NoSpacing"/>
        <w:jc w:val="center"/>
        <w:rPr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элективного </w:t>
      </w:r>
      <w:r w:rsidRPr="00AA1AE3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AA1AE3">
        <w:rPr>
          <w:rFonts w:ascii="Times New Roman" w:hAnsi="Times New Roman" w:cs="Times New Roman"/>
          <w:sz w:val="28"/>
          <w:szCs w:val="28"/>
        </w:rPr>
        <w:t xml:space="preserve"> «Локальные конфликты» составлена 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федерального компонента государственного стандарта общего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истории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t xml:space="preserve"> (профильный уровень), авторской  программы </w:t>
      </w:r>
      <w:r w:rsidRPr="00AA1AE3">
        <w:rPr>
          <w:rFonts w:ascii="Times New Roman" w:hAnsi="Times New Roman" w:cs="Times New Roman"/>
          <w:sz w:val="28"/>
          <w:szCs w:val="28"/>
        </w:rPr>
        <w:t>«Локальные конфликты» И.  Н. Селиванова, И. А. Конорева.  Серия: «Элективные курсы. Программы по истории 11» М., «Дрофа»,  2007 г.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A4A">
        <w:rPr>
          <w:rFonts w:ascii="Times New Roman" w:hAnsi="Times New Roman" w:cs="Times New Roman"/>
          <w:sz w:val="28"/>
          <w:szCs w:val="28"/>
        </w:rPr>
        <w:t>элективного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AE3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AA1AE3">
        <w:rPr>
          <w:rFonts w:ascii="Times New Roman" w:hAnsi="Times New Roman" w:cs="Times New Roman"/>
          <w:sz w:val="28"/>
          <w:szCs w:val="28"/>
        </w:rPr>
        <w:t xml:space="preserve">«Локальные конфликты» познакомить обучающихся с геополитическими, дипломатическими и военными аспектами локальных конфликтов </w:t>
      </w:r>
      <w:r w:rsidRPr="00AA1AE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A1AE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</w:rPr>
        <w:t xml:space="preserve">   Задачи: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 xml:space="preserve">- углубить знания учащихся по ключевым проблемам истории международных отношений </w:t>
      </w:r>
      <w:r w:rsidRPr="00AA1AE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A1AE3">
        <w:rPr>
          <w:rFonts w:ascii="Times New Roman" w:hAnsi="Times New Roman" w:cs="Times New Roman"/>
          <w:sz w:val="28"/>
          <w:szCs w:val="28"/>
        </w:rPr>
        <w:t xml:space="preserve"> столетия;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- формировать у обучающихся представлений о характере  и специфике международных отношений и месте в них локальных конфликтов;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- приобрести обучающимися знаний по проблемам геополитики, дипломатии, истории войн, военного искусства;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- развить умения у обучающихся: классифицировать исторические события на примере изучаемого материала, устанавливать причинно-следственные связи и давать объективные оценки изучаемым историческим явлениям при рассмотрении конкретных конфликтных ситуаций;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 xml:space="preserve">- воспитать у обучающихся отрицательного отношения к использованию силовых методов для разрешения международных проблем, а также привитие гуманистических чувств по отношению к жертвам локальных войн  и конфликтов.                                                                    </w:t>
      </w:r>
    </w:p>
    <w:p w:rsidR="00CD49A3" w:rsidRPr="00AA1AE3" w:rsidRDefault="00CD49A3" w:rsidP="00AA1AE3">
      <w:pPr>
        <w:pStyle w:val="a"/>
        <w:spacing w:after="0" w:line="200" w:lineRule="atLeast"/>
        <w:ind w:left="851"/>
        <w:jc w:val="both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  <w:lang w:eastAsia="ar-SA"/>
        </w:rPr>
        <w:t xml:space="preserve">На элективный учебный предмет «Локальные конфликты </w:t>
      </w:r>
      <w:r w:rsidRPr="00AA1AE3">
        <w:rPr>
          <w:rFonts w:ascii="Times New Roman" w:hAnsi="Times New Roman" w:cs="Times New Roman"/>
          <w:sz w:val="28"/>
          <w:szCs w:val="28"/>
          <w:lang w:val="en-US" w:eastAsia="ar-SA"/>
        </w:rPr>
        <w:t>XX</w:t>
      </w:r>
      <w:r w:rsidRPr="00AA1AE3">
        <w:rPr>
          <w:rFonts w:ascii="Times New Roman" w:hAnsi="Times New Roman" w:cs="Times New Roman"/>
          <w:sz w:val="28"/>
          <w:szCs w:val="28"/>
          <w:lang w:eastAsia="ar-SA"/>
        </w:rPr>
        <w:t xml:space="preserve"> в.: политика, дипломатия, войны» в соответствии с Учебным планом МБОУ СОШ №19 на изучение отведено 1 час в неделю (34 часов в год, 34 учебных недель).</w:t>
      </w:r>
    </w:p>
    <w:p w:rsidR="00CD49A3" w:rsidRPr="00AA1AE3" w:rsidRDefault="00CD49A3" w:rsidP="00675C8E">
      <w:pPr>
        <w:pStyle w:val="a"/>
        <w:spacing w:after="0" w:line="100" w:lineRule="atLeast"/>
        <w:ind w:left="851"/>
        <w:rPr>
          <w:sz w:val="28"/>
          <w:szCs w:val="28"/>
        </w:rPr>
      </w:pPr>
    </w:p>
    <w:p w:rsidR="00CD49A3" w:rsidRDefault="00CD49A3" w:rsidP="00675C8E">
      <w:pPr>
        <w:pStyle w:val="NoSpacing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9A3" w:rsidRDefault="00CD49A3" w:rsidP="00675C8E">
      <w:pPr>
        <w:pStyle w:val="NoSpacing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9A3" w:rsidRPr="00AA1AE3" w:rsidRDefault="00CD49A3" w:rsidP="00675C8E">
      <w:pPr>
        <w:pStyle w:val="NoSpacing"/>
        <w:ind w:left="851"/>
        <w:jc w:val="center"/>
        <w:rPr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понятия геополитики, дипломатии и международного права в период вооружённых конфликтов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</w:rPr>
        <w:t>Природа локальных конфликтов войн.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Основные понятия международного права. Объекты и субъекты международного права.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Мирные средства разрешения международных споров.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Теории международных отношений и дипломатии в период «холодной войны». Современные концепции.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Основные понятия теории геополитики. Геополитика крупнейших мировых держав.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Новая геополитическая картина мира в условиях одностороннего доминирования США в международных отношениях.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</w:rPr>
        <w:t xml:space="preserve">Локальные конфликты в годы «холодной войны» 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Причины и характер конфликта в Индокитае.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Характеристика основных событий Первoй и Второй индокитайских войн. Итоги противостояния.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«Камбоджийская проблема» в международных отношениях середины 70-х – конца 80-хг.г. Роль ООН в урегулировании конфликта.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Истоки ближневосточного конфликта.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Проблема создания Еврейского государства в Палестине. Сионизм.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Палестинская проблема в ООН.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Арабо-израильские войны 40-80-х г.г. и их основные итоги.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Создание Палестинской автономии на территории Израиля. Современные оценки Ближневосточного конфликта.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Причины образования КНДР и Республики Корея.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Война 1950-1953г.г. и ее основные итоги. Проблемы объединения Кореи в годы «холодной войны».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Карибский кризис.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Ухудшение советско-китайских отношений в конце 50-х – начале 60-х гг. Конфликт осени 1969 г. и его урегулирование.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Приход сторонников  социализма к власти в Афганистане в апреле 1978 г. Гражданская война.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Ввод советских войск в Афганистан. Международные отношения вокруг Афганистана.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Ирано-иракская война. Роль ООН в урегулировании кризиса.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Аннексия Кувейта Ираком.  Операция «Буря в пустыне». Освобождение Кувейта.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</w:rPr>
        <w:t xml:space="preserve">Локальные конфликты после окончания «холодной войны» 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Развитие Ближневосточного конфликта после окончания «холодной войны».Соглашение в Осло.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Создание Палестинской автономии. Противоречия между палестинской администрацией и израильскими властями. План «Дорожная карта».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Распад Югославской федерации. События в Боснии и Герцеговине.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Сербско-албанский конфликт в Косово. Падение режима С.Милошевича.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Положение в Ираке после Кувейтского кризиса. Санкции ООн в отношении Ирака.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Вторжение войск американо-британской коалиции и наступление на Багдад. Крушение режима С.Хусейна. Итоги конфликта.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Падение режима Наджибуллы в Кабуле. Приход к власти исламской оппозиции.</w:t>
      </w:r>
    </w:p>
    <w:p w:rsidR="00CD49A3" w:rsidRPr="00AA1AE3" w:rsidRDefault="00CD49A3" w:rsidP="00AA1AE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Приход  к власти движения Талибан. События сентября 2001г. в США и их влияние на Афганистан. Свержение режима талибов.</w:t>
      </w:r>
    </w:p>
    <w:p w:rsidR="00CD49A3" w:rsidRPr="00AA1AE3" w:rsidRDefault="00CD49A3" w:rsidP="00AA1AE3">
      <w:pPr>
        <w:pStyle w:val="a"/>
        <w:spacing w:before="28" w:after="28" w:line="100" w:lineRule="atLeast"/>
        <w:ind w:left="851"/>
        <w:jc w:val="center"/>
        <w:rPr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CD49A3" w:rsidRDefault="00CD49A3" w:rsidP="00AA1AE3">
      <w:pPr>
        <w:pStyle w:val="a"/>
        <w:spacing w:before="28" w:after="28" w:line="100" w:lineRule="atLeast"/>
        <w:ind w:left="851"/>
      </w:pPr>
    </w:p>
    <w:tbl>
      <w:tblPr>
        <w:tblpPr w:leftFromText="180" w:rightFromText="180" w:vertAnchor="text" w:horzAnchor="margin" w:tblpX="714" w:tblpY="10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66"/>
        <w:gridCol w:w="9890"/>
        <w:gridCol w:w="2233"/>
      </w:tblGrid>
      <w:tr w:rsidR="00CD49A3" w:rsidRPr="00255B73">
        <w:trPr>
          <w:cantSplit/>
          <w:trHeight w:val="841"/>
        </w:trPr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spacing w:before="28" w:after="28"/>
              <w:ind w:left="851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9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spacing w:before="28" w:after="28" w:line="100" w:lineRule="atLeast"/>
              <w:ind w:left="851"/>
              <w:jc w:val="center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jc w:val="center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D49A3" w:rsidRPr="00255B73">
        <w:trPr>
          <w:cantSplit/>
          <w:trHeight w:val="841"/>
        </w:trPr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spacing w:before="28" w:after="28"/>
              <w:ind w:left="851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NoSpacing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</w:rPr>
              <w:t>Основные понятия геополитики, дипломатии и международного права в период вооружённых конфликтов.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jc w:val="center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D49A3" w:rsidRPr="00255B73">
        <w:trPr>
          <w:cantSplit/>
          <w:trHeight w:val="520"/>
        </w:trPr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spacing w:before="28" w:after="28"/>
              <w:ind w:left="851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NoSpacing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</w:rPr>
              <w:t>Локальные конфликты в годы «холодной войны.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jc w:val="center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D49A3" w:rsidRPr="00255B73">
        <w:trPr>
          <w:cantSplit/>
          <w:trHeight w:val="520"/>
        </w:trPr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spacing w:before="28" w:after="28"/>
              <w:ind w:left="851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NoSpacing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</w:rPr>
              <w:t>Локальные конфликты после окончания «холодной войны.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jc w:val="center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D49A3" w:rsidRPr="00255B73">
        <w:trPr>
          <w:cantSplit/>
          <w:trHeight w:val="520"/>
        </w:trPr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spacing w:before="28" w:after="28"/>
              <w:ind w:left="851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NoSpacing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Повторительно-обобщающие занятия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jc w:val="center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D49A3" w:rsidRPr="00255B73">
        <w:trPr>
          <w:cantSplit/>
          <w:trHeight w:val="520"/>
        </w:trPr>
        <w:tc>
          <w:tcPr>
            <w:tcW w:w="17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spacing w:before="28" w:after="28"/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spacing w:before="28" w:after="28" w:line="100" w:lineRule="atLeast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9A3" w:rsidRPr="00AA1AE3" w:rsidRDefault="00CD49A3" w:rsidP="00AA1AE3">
            <w:pPr>
              <w:pStyle w:val="a"/>
              <w:jc w:val="center"/>
              <w:rPr>
                <w:sz w:val="28"/>
                <w:szCs w:val="28"/>
              </w:rPr>
            </w:pPr>
            <w:r w:rsidRPr="00A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CD49A3" w:rsidRDefault="00CD49A3">
      <w:pPr>
        <w:pStyle w:val="a"/>
        <w:spacing w:before="28" w:after="28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>
      <w:pPr>
        <w:pStyle w:val="a"/>
        <w:spacing w:before="28" w:after="28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>
      <w:pPr>
        <w:pStyle w:val="a"/>
        <w:spacing w:before="28" w:after="28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>
      <w:pPr>
        <w:pStyle w:val="a"/>
        <w:spacing w:before="28" w:after="28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>
      <w:pPr>
        <w:pStyle w:val="a"/>
        <w:spacing w:before="28" w:after="28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>
      <w:pPr>
        <w:pStyle w:val="a"/>
        <w:spacing w:before="28" w:after="28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>
      <w:pPr>
        <w:pStyle w:val="a"/>
        <w:spacing w:before="28" w:after="28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>
      <w:pPr>
        <w:pStyle w:val="a"/>
        <w:spacing w:before="28" w:after="28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>
      <w:pPr>
        <w:pStyle w:val="a"/>
        <w:spacing w:before="28" w:after="28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>
      <w:pPr>
        <w:pStyle w:val="a"/>
        <w:spacing w:before="28" w:after="28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>
      <w:pPr>
        <w:pStyle w:val="a"/>
        <w:spacing w:before="28" w:after="28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>
      <w:pPr>
        <w:pStyle w:val="a"/>
        <w:spacing w:before="28" w:after="28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>
      <w:pPr>
        <w:pStyle w:val="NoSpacing"/>
      </w:pPr>
    </w:p>
    <w:p w:rsidR="00CD49A3" w:rsidRPr="00AA1AE3" w:rsidRDefault="00CD49A3">
      <w:pPr>
        <w:pStyle w:val="NoSpacing"/>
        <w:ind w:left="85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уровню полготовки учащихся</w:t>
      </w:r>
    </w:p>
    <w:p w:rsidR="00CD49A3" w:rsidRPr="00AA1AE3" w:rsidRDefault="00CD49A3">
      <w:pPr>
        <w:pStyle w:val="a"/>
        <w:spacing w:after="0" w:line="100" w:lineRule="atLeast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CD49A3" w:rsidRPr="00AA1AE3" w:rsidRDefault="00CD49A3">
      <w:pPr>
        <w:pStyle w:val="a"/>
        <w:spacing w:after="0" w:line="100" w:lineRule="atLeast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 xml:space="preserve">- фактический материал по истории локальных конфликтов в </w:t>
      </w:r>
      <w:r w:rsidRPr="00AA1AE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A1AE3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CD49A3" w:rsidRPr="00AA1AE3" w:rsidRDefault="00CD49A3">
      <w:pPr>
        <w:pStyle w:val="a"/>
        <w:spacing w:after="0" w:line="100" w:lineRule="atLeast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- основы  геополитики, дипломатии, международного права в период вооруженных конфликтов;</w:t>
      </w:r>
    </w:p>
    <w:p w:rsidR="00CD49A3" w:rsidRPr="00AA1AE3" w:rsidRDefault="00CD49A3">
      <w:pPr>
        <w:pStyle w:val="a"/>
        <w:spacing w:after="0" w:line="100" w:lineRule="atLeast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CD49A3" w:rsidRPr="00AA1AE3" w:rsidRDefault="00CD49A3">
      <w:pPr>
        <w:pStyle w:val="a"/>
        <w:spacing w:after="0" w:line="100" w:lineRule="atLeast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  <w:lang w:eastAsia="ru-RU"/>
        </w:rPr>
        <w:t>-  аргументировать собственное мнение и отстаивать свою точку зрения по рассматриваемым в курсе проблемам;</w:t>
      </w:r>
    </w:p>
    <w:p w:rsidR="00CD49A3" w:rsidRPr="00AA1AE3" w:rsidRDefault="00CD49A3">
      <w:pPr>
        <w:pStyle w:val="a"/>
        <w:spacing w:after="0" w:line="100" w:lineRule="atLeast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  <w:lang w:eastAsia="ru-RU"/>
        </w:rPr>
        <w:t xml:space="preserve">- давать самостоятельную оценку характеру тех или иных локальных конфликтов </w:t>
      </w:r>
      <w:r w:rsidRPr="00AA1AE3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t xml:space="preserve"> в., опираясь на имеющиеся документальные источники и литературу;</w:t>
      </w:r>
    </w:p>
    <w:p w:rsidR="00CD49A3" w:rsidRPr="00AA1AE3" w:rsidRDefault="00CD49A3">
      <w:pPr>
        <w:pStyle w:val="a"/>
        <w:spacing w:after="0" w:line="100" w:lineRule="atLeast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  <w:lang w:eastAsia="ru-RU"/>
        </w:rPr>
        <w:t>- осуществлять поиск дополнительной информации по изучаемым темам, в том числе в сети Интернет;</w:t>
      </w:r>
    </w:p>
    <w:p w:rsidR="00CD49A3" w:rsidRPr="00AA1AE3" w:rsidRDefault="00CD49A3">
      <w:pPr>
        <w:pStyle w:val="a"/>
        <w:spacing w:after="0" w:line="100" w:lineRule="atLeast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  <w:lang w:eastAsia="ru-RU"/>
        </w:rPr>
        <w:t>- уметь соотносить собственные знания и представления с имеющимися в общественном мнении как у нас в стране, так и за рубежом.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проводить комплексный поиск исторической информации в источниках разного типа; 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осуществлять внутреннюю и внешнюю критику источника; 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систематизировать разнообразную историческую информацию на основе своих представлений об общих закономерностях всемирно – исторического процесса; 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формировать собственный алгоритм решения историко – познавательных задач; 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участвовать в групповой исследовательской работе, определять ключевые моменты дискуссии, формулировать собственную позицию по обсуждаемым вопросам; 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представлять результаты индивидуальной и групповой историко – познавательной деятельности в формах конспекта, реферата, исторического сочинения, исследовательского проекта, публичной презентации; </w:t>
      </w:r>
    </w:p>
    <w:p w:rsidR="00CD49A3" w:rsidRPr="00AA1AE3" w:rsidRDefault="00CD49A3" w:rsidP="002550AB">
      <w:pPr>
        <w:pStyle w:val="a"/>
        <w:spacing w:after="0" w:line="100" w:lineRule="atLeast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понимания и критического осмысления общественных процессов и ситуаций; 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определения собственной позиции по отношению к явлениям современной жизни; 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 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учета в своих действиях необходимости конструктивного взаимодействия людей с разными убеждениями, культурными ценностями и социальным положением; </w:t>
      </w:r>
      <w:r w:rsidRPr="00AA1AE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осознания себя представителем исторически сложившегося гражданского, этнокультурного, конфессионального сообщества, гражданином России. </w:t>
      </w:r>
      <w:bookmarkStart w:id="0" w:name="_GoBack"/>
      <w:bookmarkEnd w:id="0"/>
    </w:p>
    <w:p w:rsidR="00CD49A3" w:rsidRPr="00AA1AE3" w:rsidRDefault="00CD49A3">
      <w:pPr>
        <w:pStyle w:val="a"/>
        <w:spacing w:after="0" w:line="100" w:lineRule="atLeast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Pr="00AA1AE3" w:rsidRDefault="00CD49A3" w:rsidP="00AA1A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AE3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рекомендуемой</w:t>
      </w:r>
      <w:r w:rsidRPr="00AA1AE3">
        <w:rPr>
          <w:rFonts w:ascii="Times New Roman" w:hAnsi="Times New Roman" w:cs="Times New Roman"/>
          <w:b/>
          <w:bCs/>
          <w:sz w:val="28"/>
          <w:szCs w:val="28"/>
        </w:rPr>
        <w:t xml:space="preserve"> учебно-методической литер</w:t>
      </w:r>
      <w:r>
        <w:rPr>
          <w:rFonts w:ascii="Times New Roman" w:hAnsi="Times New Roman" w:cs="Times New Roman"/>
          <w:b/>
          <w:bCs/>
          <w:sz w:val="28"/>
          <w:szCs w:val="28"/>
        </w:rPr>
        <w:t>атуры</w:t>
      </w:r>
      <w:r w:rsidRPr="00AA1A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 xml:space="preserve">1. Элективные курсы. Программы по истории (10-11 классы). Программы элективного курса И.Н.Селиванова, И.А.Конорева «Локальные конфликты </w:t>
      </w:r>
      <w:r w:rsidRPr="00AA1AE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A1AE3">
        <w:rPr>
          <w:rFonts w:ascii="Times New Roman" w:hAnsi="Times New Roman" w:cs="Times New Roman"/>
          <w:sz w:val="28"/>
          <w:szCs w:val="28"/>
        </w:rPr>
        <w:t xml:space="preserve"> в» М., «Дрофа», 2007</w:t>
      </w:r>
    </w:p>
    <w:p w:rsidR="00CD49A3" w:rsidRPr="00AA1AE3" w:rsidRDefault="00CD49A3">
      <w:pPr>
        <w:pStyle w:val="NoSpacing"/>
        <w:tabs>
          <w:tab w:val="center" w:pos="1407"/>
        </w:tabs>
        <w:ind w:left="840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  <w:lang w:eastAsia="ru-RU"/>
        </w:rPr>
        <w:t>2. Всеобщая Декларация прав человека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3. Всемирная история Н.В. Загладин. Учебник для 11 класса. М.: «Русское слово»., 2007</w:t>
      </w:r>
    </w:p>
    <w:p w:rsidR="00CD49A3" w:rsidRPr="00AA1AE3" w:rsidRDefault="00CD49A3">
      <w:pPr>
        <w:pStyle w:val="NoSpacing"/>
        <w:ind w:left="851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4. Всемирная история в схемах, терминах, таблицах. С. Л. Губина. Ростов - на- Дону «Феникс», 2013 .</w:t>
      </w:r>
    </w:p>
    <w:p w:rsidR="00CD49A3" w:rsidRPr="00965A4A" w:rsidRDefault="00CD49A3" w:rsidP="00965A4A">
      <w:pPr>
        <w:pStyle w:val="NoSpacing"/>
        <w:ind w:left="851"/>
        <w:jc w:val="both"/>
        <w:rPr>
          <w:sz w:val="28"/>
          <w:szCs w:val="28"/>
        </w:rPr>
      </w:pPr>
      <w:r w:rsidRPr="00AA1AE3">
        <w:rPr>
          <w:rFonts w:ascii="Times New Roman" w:hAnsi="Times New Roman" w:cs="Times New Roman"/>
          <w:sz w:val="28"/>
          <w:szCs w:val="28"/>
        </w:rPr>
        <w:t>5. Обществознание Глобальный мир в 21 веке. 11 класс. Учебник для общеобразовательных учреждений; под ред. Л.В.Полякова. М.: Просвещение, 2008</w:t>
      </w:r>
    </w:p>
    <w:p w:rsidR="00CD49A3" w:rsidRDefault="00CD49A3">
      <w:pPr>
        <w:pStyle w:val="NoSpacing"/>
        <w:ind w:left="851"/>
        <w:jc w:val="both"/>
      </w:pPr>
    </w:p>
    <w:p w:rsidR="00CD49A3" w:rsidRPr="002550AB" w:rsidRDefault="00CD49A3" w:rsidP="002550AB">
      <w:pPr>
        <w:pStyle w:val="NoSpacing"/>
        <w:spacing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дополнительной общеобразовательной программе «История» 11 класс (Локальные конфликты)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» для Борисовой О.В.</w:t>
      </w:r>
    </w:p>
    <w:p w:rsidR="00CD49A3" w:rsidRDefault="00CD49A3" w:rsidP="008A1E9A">
      <w:pPr>
        <w:pStyle w:val="a"/>
        <w:spacing w:after="0" w:line="100" w:lineRule="atLeas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49A3" w:rsidRDefault="00CD49A3" w:rsidP="008A1E9A">
      <w:pPr>
        <w:pStyle w:val="a"/>
        <w:spacing w:after="0" w:line="100" w:lineRule="atLeast"/>
        <w:ind w:left="851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Календарно-тематический план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03"/>
        <w:gridCol w:w="8444"/>
        <w:gridCol w:w="1545"/>
        <w:gridCol w:w="1757"/>
        <w:gridCol w:w="2628"/>
      </w:tblGrid>
      <w:tr w:rsidR="00CD49A3" w:rsidRPr="00255B73">
        <w:trPr>
          <w:cantSplit/>
          <w:trHeight w:val="339"/>
        </w:trPr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right="-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 темы</w:t>
            </w:r>
          </w:p>
        </w:tc>
        <w:tc>
          <w:tcPr>
            <w:tcW w:w="15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</w:t>
            </w:r>
          </w:p>
          <w:p w:rsidR="00CD49A3" w:rsidRDefault="00CD49A3" w:rsidP="008F3C3F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5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Pr="002550AB" w:rsidRDefault="00CD49A3" w:rsidP="002550AB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2550A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628" w:type="dxa"/>
            <w:tcBorders>
              <w:top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Pr="002550AB" w:rsidRDefault="00CD49A3" w:rsidP="002550AB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50AB">
              <w:rPr>
                <w:rFonts w:ascii="Times New Roman" w:hAnsi="Times New Roman" w:cs="Times New Roman"/>
              </w:rPr>
              <w:t>римечание</w:t>
            </w: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jc w:val="both"/>
            </w:pP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геополитики, дипломатии и международного права в период вооружённых конфликтов</w:t>
            </w:r>
          </w:p>
        </w:tc>
        <w:tc>
          <w:tcPr>
            <w:tcW w:w="15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2550AB">
            <w:pPr>
              <w:pStyle w:val="a"/>
              <w:spacing w:after="0" w:line="100" w:lineRule="atLeast"/>
              <w:ind w:left="851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2550AB">
            <w:pPr>
              <w:pStyle w:val="a"/>
              <w:spacing w:after="0" w:line="100" w:lineRule="atLeast"/>
              <w:ind w:left="851"/>
              <w:jc w:val="center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Pr="002550AB" w:rsidRDefault="00CD49A3" w:rsidP="002550AB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Pr="002550AB" w:rsidRDefault="00CD49A3" w:rsidP="008F3C3F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0AB">
              <w:rPr>
                <w:rFonts w:ascii="Times New Roman" w:hAnsi="Times New Roman" w:cs="Times New Roman"/>
                <w:sz w:val="24"/>
                <w:szCs w:val="24"/>
              </w:rPr>
              <w:t>Природа локальных конфликтов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международного права. Объекты и субъекты международного права.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Мирные средства разрешения международных споров.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международных отношений и дипломатии в период «холодной войны». Современные концепции.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геополитики. Геополитика крупнейших мировых держав.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геополитическая картина мира в условиях одностороннего доминирования США в международных отношениях.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Локальные конфликты в годы «холодной войны» 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характер конфликта в Индокитае.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событий Перв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Второй индокитайских войн. Итоги противостояния.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«Камбоджийская проблема» в международных отношениях середины 70-х – конца 80-хг.г. Роль ООН в урегулировании конфликта.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ближневосточного конфликта.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создания Еврейского государства в Палестине. Сионизм.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Палестинская проблема в ООН.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Арабо-израильские войны 40-80-х г.г. и их основные итоги.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Палестинской автономии на территории Израиля. Современные оценки Ближневосточного конфликта.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КНДР и Республики Корея.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1950-1953г.г. и ее основные итоги. Проблемы объединения Кореи в годы «холодной войны».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Карибский кризис.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советско-китайских отношений в конце 50-х – начале 60-х гг. Конфликт осени 1969 г. и его урегулирование.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сторонников  социализма к власти в Афганистане в апреле 1978 г. Гражданская война.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советских войск в Афганистан. Международные отношения вокруг Афганистана.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Ирано-иракская война. Роль ООН в урегулировании кризиса.</w:t>
            </w:r>
          </w:p>
        </w:tc>
        <w:tc>
          <w:tcPr>
            <w:tcW w:w="15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Аннексия Кувейта Ираком.  Операция «Буря в пустыне». Освобождение Кувейта.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конфликты после окончания «холодной войны» 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Ближневосточного конфликта после окончания «холодной войны».Соглашение в Осло.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Палестинской автономии. Противоречия между палестинской администрацией и израильскими властями. План «Дорожная карта».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Распад Югославской федерации. События в Боснии и Герцеговине.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Сербско-албанский конфликт в Косово. Падение режима С.Милошевича.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в Ираке после Кувейтского кризиса. Санкции ООн в отношении Ирака.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Вторжение войск американо-британской коалиции и наступление на Багдад. Крушение режима С.Хусейна. Итоги конфликта.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режима Наджибуллы в Кабуле. Приход к власти исламской оппозиции.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  к власти движения Талибан. События сентября 2001г. в США и их влияние на Афганистан. Свержение режима талибов.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занятия.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«Основные понятия геополитики, дипломатии и международного права в период вооружённых конфликтов»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«Основные понятия геополитики, дипломатии и международного права в период вооружённых конфликтов»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«Локальные конфликты в годы «холодной войны»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8F3C3F">
            <w:pPr>
              <w:pStyle w:val="a"/>
              <w:spacing w:after="0" w:line="100" w:lineRule="atLeast"/>
              <w:ind w:left="851"/>
              <w:jc w:val="both"/>
            </w:pPr>
          </w:p>
        </w:tc>
      </w:tr>
      <w:tr w:rsidR="00CD49A3" w:rsidRPr="00255B73">
        <w:trPr>
          <w:cantSplit/>
          <w:trHeight w:val="339"/>
        </w:trPr>
        <w:tc>
          <w:tcPr>
            <w:tcW w:w="80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Pr="002550AB" w:rsidRDefault="00CD49A3" w:rsidP="00F262C6">
            <w:pPr>
              <w:pStyle w:val="a"/>
              <w:spacing w:after="0" w:line="100" w:lineRule="atLeast"/>
              <w:ind w:lef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Pr="002550AB" w:rsidRDefault="00CD49A3" w:rsidP="002550A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5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Pr="002550AB" w:rsidRDefault="00CD49A3" w:rsidP="00F262C6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Pr="002550AB" w:rsidRDefault="00CD49A3" w:rsidP="00F262C6">
            <w:pPr>
              <w:pStyle w:val="a"/>
              <w:spacing w:after="0" w:line="100" w:lineRule="atLeast"/>
              <w:ind w:left="85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A3" w:rsidRDefault="00CD49A3" w:rsidP="00F262C6">
            <w:pPr>
              <w:pStyle w:val="a"/>
              <w:spacing w:after="0" w:line="100" w:lineRule="atLeast"/>
              <w:ind w:left="851"/>
              <w:jc w:val="both"/>
            </w:pPr>
          </w:p>
        </w:tc>
      </w:tr>
    </w:tbl>
    <w:p w:rsidR="00CD49A3" w:rsidRDefault="00CD49A3">
      <w:pPr>
        <w:pStyle w:val="NoSpacing"/>
        <w:ind w:left="851"/>
        <w:jc w:val="both"/>
      </w:pPr>
    </w:p>
    <w:sectPr w:rsidR="00CD49A3" w:rsidSect="00AA1AE3">
      <w:footerReference w:type="default" r:id="rId7"/>
      <w:pgSz w:w="16838" w:h="11906" w:orient="landscape"/>
      <w:pgMar w:top="568" w:right="851" w:bottom="709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A3" w:rsidRDefault="00CD49A3" w:rsidP="001C6E8B">
      <w:pPr>
        <w:spacing w:after="0" w:line="240" w:lineRule="auto"/>
      </w:pPr>
      <w:r>
        <w:separator/>
      </w:r>
    </w:p>
  </w:endnote>
  <w:endnote w:type="continuationSeparator" w:id="1">
    <w:p w:rsidR="00CD49A3" w:rsidRDefault="00CD49A3" w:rsidP="001C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A3" w:rsidRDefault="00CD49A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D49A3" w:rsidRDefault="00CD49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A3" w:rsidRDefault="00CD49A3" w:rsidP="001C6E8B">
      <w:pPr>
        <w:spacing w:after="0" w:line="240" w:lineRule="auto"/>
      </w:pPr>
      <w:r>
        <w:separator/>
      </w:r>
    </w:p>
  </w:footnote>
  <w:footnote w:type="continuationSeparator" w:id="1">
    <w:p w:rsidR="00CD49A3" w:rsidRDefault="00CD49A3" w:rsidP="001C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62C"/>
    <w:multiLevelType w:val="hybridMultilevel"/>
    <w:tmpl w:val="DE0AA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2270CB"/>
    <w:multiLevelType w:val="multilevel"/>
    <w:tmpl w:val="F26A81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B7E"/>
    <w:rsid w:val="00051377"/>
    <w:rsid w:val="001C1503"/>
    <w:rsid w:val="001C6E8B"/>
    <w:rsid w:val="001E7B7E"/>
    <w:rsid w:val="002550AB"/>
    <w:rsid w:val="00255B73"/>
    <w:rsid w:val="00361B9A"/>
    <w:rsid w:val="00392430"/>
    <w:rsid w:val="00515409"/>
    <w:rsid w:val="00675C8E"/>
    <w:rsid w:val="0072232B"/>
    <w:rsid w:val="0082406E"/>
    <w:rsid w:val="008A1E9A"/>
    <w:rsid w:val="008F3C3F"/>
    <w:rsid w:val="00965A4A"/>
    <w:rsid w:val="00A13F75"/>
    <w:rsid w:val="00A2253F"/>
    <w:rsid w:val="00AA1AE3"/>
    <w:rsid w:val="00C404E8"/>
    <w:rsid w:val="00C451B9"/>
    <w:rsid w:val="00CD49A3"/>
    <w:rsid w:val="00E6322B"/>
    <w:rsid w:val="00EF24B3"/>
    <w:rsid w:val="00F262C6"/>
    <w:rsid w:val="00F5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E8"/>
    <w:pPr>
      <w:spacing w:after="200" w:line="276" w:lineRule="auto"/>
    </w:pPr>
    <w:rPr>
      <w:rFonts w:cs="Calibri"/>
    </w:rPr>
  </w:style>
  <w:style w:type="paragraph" w:styleId="Heading1">
    <w:name w:val="heading 1"/>
    <w:basedOn w:val="a"/>
    <w:next w:val="BodyText"/>
    <w:link w:val="Heading1Char"/>
    <w:uiPriority w:val="99"/>
    <w:qFormat/>
    <w:rsid w:val="001E7B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a"/>
    <w:next w:val="BodyText"/>
    <w:link w:val="Heading2Char"/>
    <w:uiPriority w:val="99"/>
    <w:qFormat/>
    <w:rsid w:val="001E7B7E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a"/>
    <w:next w:val="BodyText"/>
    <w:link w:val="Heading3Char"/>
    <w:uiPriority w:val="99"/>
    <w:qFormat/>
    <w:rsid w:val="001E7B7E"/>
    <w:pPr>
      <w:keepNext/>
      <w:keepLines/>
      <w:tabs>
        <w:tab w:val="clear" w:pos="708"/>
        <w:tab w:val="num" w:pos="72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a"/>
    <w:next w:val="BodyText"/>
    <w:link w:val="Heading4Char"/>
    <w:uiPriority w:val="99"/>
    <w:qFormat/>
    <w:rsid w:val="001E7B7E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a">
    <w:name w:val="Базовый"/>
    <w:uiPriority w:val="99"/>
    <w:rsid w:val="001E7B7E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character" w:customStyle="1" w:styleId="1">
    <w:name w:val="Заголовок 1 Знак"/>
    <w:basedOn w:val="DefaultParagraphFont"/>
    <w:uiPriority w:val="99"/>
    <w:rsid w:val="001E7B7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">
    <w:name w:val="Заголовок 2 Знак"/>
    <w:basedOn w:val="DefaultParagraphFont"/>
    <w:uiPriority w:val="99"/>
    <w:rsid w:val="001E7B7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">
    <w:name w:val="Заголовок 3 Знак"/>
    <w:basedOn w:val="DefaultParagraphFont"/>
    <w:uiPriority w:val="99"/>
    <w:rsid w:val="001E7B7E"/>
    <w:rPr>
      <w:rFonts w:ascii="Cambria" w:hAnsi="Cambria" w:cs="Cambria"/>
      <w:b/>
      <w:bCs/>
      <w:color w:val="4F81BD"/>
    </w:rPr>
  </w:style>
  <w:style w:type="character" w:customStyle="1" w:styleId="4">
    <w:name w:val="Заголовок 4 Знак"/>
    <w:basedOn w:val="DefaultParagraphFont"/>
    <w:uiPriority w:val="99"/>
    <w:rsid w:val="001E7B7E"/>
    <w:rPr>
      <w:rFonts w:ascii="Cambria" w:hAnsi="Cambria" w:cs="Cambria"/>
      <w:b/>
      <w:bCs/>
      <w:i/>
      <w:iCs/>
      <w:color w:val="4F81BD"/>
    </w:rPr>
  </w:style>
  <w:style w:type="character" w:customStyle="1" w:styleId="a0">
    <w:name w:val="Верхний колонтитул Знак"/>
    <w:basedOn w:val="DefaultParagraphFont"/>
    <w:uiPriority w:val="99"/>
    <w:rsid w:val="001E7B7E"/>
  </w:style>
  <w:style w:type="character" w:customStyle="1" w:styleId="a1">
    <w:name w:val="Нижний колонтитул Знак"/>
    <w:basedOn w:val="DefaultParagraphFont"/>
    <w:uiPriority w:val="99"/>
    <w:rsid w:val="001E7B7E"/>
  </w:style>
  <w:style w:type="paragraph" w:customStyle="1" w:styleId="a2">
    <w:name w:val="Заголовок"/>
    <w:basedOn w:val="a"/>
    <w:next w:val="BodyText"/>
    <w:uiPriority w:val="99"/>
    <w:rsid w:val="001E7B7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1E7B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">
    <w:name w:val="List"/>
    <w:basedOn w:val="BodyText"/>
    <w:uiPriority w:val="99"/>
    <w:rsid w:val="001E7B7E"/>
  </w:style>
  <w:style w:type="paragraph" w:styleId="Title">
    <w:name w:val="Title"/>
    <w:basedOn w:val="a"/>
    <w:link w:val="TitleChar"/>
    <w:uiPriority w:val="99"/>
    <w:qFormat/>
    <w:rsid w:val="001E7B7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1C1503"/>
    <w:pPr>
      <w:ind w:left="220" w:hanging="220"/>
    </w:pPr>
  </w:style>
  <w:style w:type="paragraph" w:styleId="IndexHeading">
    <w:name w:val="index heading"/>
    <w:basedOn w:val="a"/>
    <w:uiPriority w:val="99"/>
    <w:semiHidden/>
    <w:rsid w:val="001E7B7E"/>
    <w:pPr>
      <w:suppressLineNumbers/>
    </w:pPr>
  </w:style>
  <w:style w:type="paragraph" w:styleId="NoSpacing">
    <w:name w:val="No Spacing"/>
    <w:uiPriority w:val="99"/>
    <w:qFormat/>
    <w:rsid w:val="001E7B7E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Header">
    <w:name w:val="header"/>
    <w:basedOn w:val="a"/>
    <w:link w:val="HeaderChar"/>
    <w:uiPriority w:val="99"/>
    <w:rsid w:val="001E7B7E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a"/>
    <w:link w:val="FooterChar"/>
    <w:uiPriority w:val="99"/>
    <w:rsid w:val="001E7B7E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character" w:styleId="Strong">
    <w:name w:val="Strong"/>
    <w:basedOn w:val="DefaultParagraphFont"/>
    <w:uiPriority w:val="99"/>
    <w:qFormat/>
    <w:locked/>
    <w:rsid w:val="00965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9</Pages>
  <Words>1679</Words>
  <Characters>9576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2016-01-11T16:35:00Z</cp:lastPrinted>
  <dcterms:created xsi:type="dcterms:W3CDTF">2016-02-05T01:28:00Z</dcterms:created>
  <dcterms:modified xsi:type="dcterms:W3CDTF">2016-02-10T06:03:00Z</dcterms:modified>
</cp:coreProperties>
</file>